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ConsPlusNormal"/>
        <w:widowControl/>
        <w:tabs>
          <w:tab w:val="left" w:pos="6663"/>
        </w:tabs>
        <w:ind w:firstLine="666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1</w:t>
      </w:r>
    </w:p>
    <w:p>
      <w:pPr>
        <w:pStyle w:val="ConsPlusNormal"/>
        <w:widowControl/>
        <w:tabs>
          <w:tab w:val="left" w:pos="6663"/>
        </w:tabs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Дополнительному соглашению № 5</w:t>
      </w:r>
    </w:p>
    <w:p>
      <w:pPr>
        <w:pStyle w:val="ConsPlusNormal"/>
        <w:widowControl/>
        <w:tabs>
          <w:tab w:val="left" w:pos="6663"/>
        </w:tabs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«27» сентября   2019 года</w:t>
      </w:r>
    </w:p>
    <w:p>
      <w:pPr>
        <w:jc w:val="right"/>
        <w:rPr>
          <w:sz w:val="24"/>
          <w:szCs w:val="24"/>
        </w:rPr>
      </w:pPr>
    </w:p>
    <w:p>
      <w:pPr>
        <w:ind w:firstLine="567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Порядок оплаты профилактических медицинских осмотров и диспансеризации </w:t>
      </w:r>
    </w:p>
    <w:p>
      <w:pPr>
        <w:ind w:firstLine="567"/>
        <w:jc w:val="center"/>
        <w:rPr>
          <w:sz w:val="28"/>
          <w:szCs w:val="24"/>
        </w:rPr>
      </w:pPr>
      <w:r>
        <w:rPr>
          <w:b/>
          <w:sz w:val="28"/>
          <w:szCs w:val="24"/>
        </w:rPr>
        <w:t>определенных гру</w:t>
      </w:r>
      <w:proofErr w:type="gramStart"/>
      <w:r>
        <w:rPr>
          <w:b/>
          <w:sz w:val="28"/>
          <w:szCs w:val="24"/>
        </w:rPr>
        <w:t>пп взр</w:t>
      </w:r>
      <w:proofErr w:type="gramEnd"/>
      <w:r>
        <w:rPr>
          <w:b/>
          <w:sz w:val="28"/>
          <w:szCs w:val="24"/>
        </w:rPr>
        <w:t xml:space="preserve">ослого населения </w:t>
      </w:r>
    </w:p>
    <w:p>
      <w:pPr>
        <w:ind w:firstLine="567"/>
        <w:jc w:val="center"/>
        <w:rPr>
          <w:b/>
          <w:sz w:val="28"/>
          <w:szCs w:val="24"/>
        </w:rPr>
      </w:pPr>
    </w:p>
    <w:p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8"/>
          <w:szCs w:val="24"/>
        </w:rPr>
        <w:t>1</w:t>
      </w:r>
      <w:r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Порядок проведения в медицинских организациях профилактического медицинского осмотра и диспансериз</w:t>
      </w:r>
      <w:bookmarkStart w:id="0" w:name="_GoBack"/>
      <w:bookmarkEnd w:id="0"/>
      <w:r>
        <w:rPr>
          <w:sz w:val="26"/>
          <w:szCs w:val="26"/>
        </w:rPr>
        <w:t>ации определенных гру</w:t>
      </w:r>
      <w:proofErr w:type="gramStart"/>
      <w:r>
        <w:rPr>
          <w:sz w:val="26"/>
          <w:szCs w:val="26"/>
        </w:rPr>
        <w:t>пп взр</w:t>
      </w:r>
      <w:proofErr w:type="gramEnd"/>
      <w:r>
        <w:rPr>
          <w:sz w:val="26"/>
          <w:szCs w:val="26"/>
        </w:rPr>
        <w:t>ослого населения утвержден приказом Министерства здравоохранения Российской Федерации от 13 марта 2019 года № 124н «Об утверждении порядка проведения профилактического медицинского осмотра и диспансеризации определенных групп взрослого населения».</w:t>
      </w:r>
    </w:p>
    <w:p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2.</w:t>
      </w:r>
      <w:r>
        <w:rPr>
          <w:sz w:val="26"/>
          <w:szCs w:val="26"/>
        </w:rPr>
        <w:t xml:space="preserve"> Финансовое обеспечение медицинских организаций, участвующих в проведении профилактического медицинского осмотра и диспансеризации определенных гру</w:t>
      </w:r>
      <w:proofErr w:type="gramStart"/>
      <w:r>
        <w:rPr>
          <w:sz w:val="26"/>
          <w:szCs w:val="26"/>
        </w:rPr>
        <w:t>пп взр</w:t>
      </w:r>
      <w:proofErr w:type="gramEnd"/>
      <w:r>
        <w:rPr>
          <w:sz w:val="26"/>
          <w:szCs w:val="26"/>
        </w:rPr>
        <w:t>ослого населения, осуществляется  за счет средств</w:t>
      </w:r>
      <w:r>
        <w:rPr>
          <w:color w:val="C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обязательного медицинского страхования, в рамках Территориальной программы государственных гарантий бесплатного оказания гражданам медицинской помощи на территории Магаданской области, действующей в текущем году.  </w:t>
      </w:r>
    </w:p>
    <w:p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3.</w:t>
      </w:r>
      <w:r>
        <w:rPr>
          <w:sz w:val="26"/>
          <w:szCs w:val="26"/>
        </w:rPr>
        <w:t xml:space="preserve"> Профилактический медицинский осмотр проводится ежегодно:</w:t>
      </w:r>
    </w:p>
    <w:p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1) в качестве самостоятельного мероприятия;</w:t>
      </w:r>
    </w:p>
    <w:p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2) в рамках диспансеризации;</w:t>
      </w:r>
    </w:p>
    <w:p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3) в рамках диспансерного наблюдения (при проведении первого в текущем году диспансерного приёма (осмотра, консультации).</w:t>
      </w:r>
    </w:p>
    <w:p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Диспансеризация проводится:</w:t>
      </w:r>
    </w:p>
    <w:p>
      <w:pPr>
        <w:pStyle w:val="a8"/>
        <w:numPr>
          <w:ilvl w:val="0"/>
          <w:numId w:val="20"/>
        </w:numPr>
        <w:spacing w:after="12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1 раз в три года в возрасте от 18 до 39 лет включительно;</w:t>
      </w:r>
    </w:p>
    <w:p>
      <w:pPr>
        <w:pStyle w:val="a8"/>
        <w:numPr>
          <w:ilvl w:val="0"/>
          <w:numId w:val="20"/>
        </w:numPr>
        <w:spacing w:after="12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ежегодно в возрасте 40 лет и старше, а также в отношении отдельных категорий граждан, включая:</w:t>
      </w:r>
    </w:p>
    <w:p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инвалидов Великой Отечественной войны и инвалидов боевых действий, а также участников Великой Отечественной войны, ставших инвалидами вследствие общего заболевания, трудового увечья или других причин (кроме лиц, инвалидность </w:t>
      </w:r>
      <w:proofErr w:type="gramStart"/>
      <w:r>
        <w:rPr>
          <w:sz w:val="26"/>
          <w:szCs w:val="26"/>
        </w:rPr>
        <w:t>которых наступила вследствие их противоправных действий);</w:t>
      </w:r>
      <w:proofErr w:type="gramEnd"/>
    </w:p>
    <w:p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б) лиц, награжденных знаком «Жителю блокадного Ленинграда» и признанных инвалидами вследствие общего заболевания, трудового увечья и других причин (кроме лиц, инвалидность которых наступила вследствие их противоправных действий);</w:t>
      </w:r>
    </w:p>
    <w:p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в)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войны, признанных инвалидами вследствие общего заболевания, трудового увечья и других причин (за исключением лиц, инвалидность которых наступила вследствие их противоправных действий);</w:t>
      </w:r>
    </w:p>
    <w:p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г) работающих  граждан, не достигших возраста, дающего право на назначение пенсии по старости, в том числе досрочно, в  течение пяти лет до наступления такого возраста и работающих граждан, являющихся получателями пенсии по старости или пенсии за выслугу лет.</w:t>
      </w:r>
    </w:p>
    <w:p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</w:t>
      </w:r>
      <w:r>
        <w:rPr>
          <w:sz w:val="26"/>
          <w:szCs w:val="26"/>
        </w:rPr>
        <w:t xml:space="preserve"> Годом прохождения диспансеризации считается календарный год, в котором гражданин достигает соответствующего возраста.</w:t>
      </w:r>
    </w:p>
    <w:p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5.</w:t>
      </w:r>
      <w:r>
        <w:rPr>
          <w:sz w:val="26"/>
          <w:szCs w:val="26"/>
        </w:rPr>
        <w:t xml:space="preserve"> Гражданин  проходит профилактический медицинский осмотр и диспансеризацию в медицинской организации, в которой он получает первичную медико-санитарную помощь.</w:t>
      </w:r>
    </w:p>
    <w:p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6.</w:t>
      </w:r>
      <w:r>
        <w:rPr>
          <w:sz w:val="26"/>
          <w:szCs w:val="26"/>
        </w:rPr>
        <w:t xml:space="preserve"> Гражданин вправе отказаться от проведения профилактического медицинского осмотра и (или) диспансеризации в целом, либо от отдельных видов медицинских вмешательств, входящих в объём профилактического медицинского осмотра и (или) диспансеризации.</w:t>
      </w:r>
    </w:p>
    <w:p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7.</w:t>
      </w:r>
      <w:r>
        <w:rPr>
          <w:sz w:val="26"/>
          <w:szCs w:val="26"/>
        </w:rPr>
        <w:t xml:space="preserve"> Диспансеризация проводится в два этапа.</w:t>
      </w:r>
    </w:p>
    <w:p>
      <w:pPr>
        <w:spacing w:after="120"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8.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При проведении профилактического медицинского осмотра и диспансеризации могут учитываться результаты ранее проведенных (не позднее одного года) медицинских осмотров, диспансеризации, подтвержденные медицинскими документами гражданина, за исключением случаев выявления у него симптомов и синдромов заболеваний, свидетельствующих о наличии медицинских показаний для повторного проведения исследований и иных медицинских мероприятий в рамках профилактического медицинского осмотра и диспансеризации.</w:t>
      </w:r>
      <w:proofErr w:type="gramEnd"/>
    </w:p>
    <w:p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9.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Профилактический медицинский осмотр и первый этап диспансеризации считается завершенным в случае выполнения не менее 85% от объема профилактического медицинского осмотра и первого этапа диспансеризации, при этом обязательным для всех граждан является проведение анкетирования и приём (осмотр) врачом по медицинской профилактике отделения (кабинета) медицинской профилактики или центра здоровья или фельдшером, а также проведение маммографии, исследование кала на скрытую кровь иммунохимическим качественным</w:t>
      </w:r>
      <w:proofErr w:type="gramEnd"/>
      <w:r>
        <w:rPr>
          <w:sz w:val="26"/>
          <w:szCs w:val="26"/>
        </w:rPr>
        <w:t xml:space="preserve"> или количественным методом, осмотр фельдшером (акушеркой) или врачом акушером-гинекологом, взятие мазка с шейки матки, цитологическое исследование мазка с шейки матки, определение </w:t>
      </w:r>
      <w:proofErr w:type="gramStart"/>
      <w:r>
        <w:rPr>
          <w:sz w:val="26"/>
          <w:szCs w:val="26"/>
        </w:rPr>
        <w:t>простат-специфического</w:t>
      </w:r>
      <w:proofErr w:type="gramEnd"/>
      <w:r>
        <w:rPr>
          <w:sz w:val="26"/>
          <w:szCs w:val="26"/>
        </w:rPr>
        <w:t xml:space="preserve"> антигена в крови, которые производятся в соответствии с Приложением  № 5-8 к настоящему Порядку.</w:t>
      </w:r>
    </w:p>
    <w:p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10.</w:t>
      </w:r>
      <w:r>
        <w:rPr>
          <w:sz w:val="26"/>
          <w:szCs w:val="26"/>
        </w:rPr>
        <w:t xml:space="preserve"> Оплата завершенного комплексного посещения для проведения профилактического медицинского осмотра взрослого населения осуществляется в соответствии с тарифами, установленными Приложение № 2 к настоящему Порядку.</w:t>
      </w:r>
    </w:p>
    <w:p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11.</w:t>
      </w:r>
      <w:r>
        <w:rPr>
          <w:sz w:val="26"/>
          <w:szCs w:val="26"/>
        </w:rPr>
        <w:t xml:space="preserve"> Оплата завершенного комплексного посещения для проведения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этапа диспансеризации определенных гру</w:t>
      </w:r>
      <w:proofErr w:type="gramStart"/>
      <w:r>
        <w:rPr>
          <w:sz w:val="26"/>
          <w:szCs w:val="26"/>
        </w:rPr>
        <w:t>пп взр</w:t>
      </w:r>
      <w:proofErr w:type="gramEnd"/>
      <w:r>
        <w:rPr>
          <w:sz w:val="26"/>
          <w:szCs w:val="26"/>
        </w:rPr>
        <w:t>ослого населения осуществляется в соответствии с тарифами, установленными Приложение № 3 к настоящему Порядку.</w:t>
      </w:r>
    </w:p>
    <w:p>
      <w:pPr>
        <w:spacing w:line="276" w:lineRule="auto"/>
        <w:ind w:firstLine="567"/>
        <w:jc w:val="both"/>
        <w:rPr>
          <w:sz w:val="26"/>
          <w:szCs w:val="26"/>
        </w:rPr>
      </w:pPr>
    </w:p>
    <w:p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12.</w:t>
      </w:r>
      <w:r>
        <w:rPr>
          <w:sz w:val="26"/>
          <w:szCs w:val="26"/>
        </w:rPr>
        <w:t xml:space="preserve"> Второй этап диспансеризации считается законченным в случае выполнения осмотров, исследований и иных медицинских мероприятий, указанных в пункте 18 Порядка проведения профилактического медицинского осмотра и диспансеризации определенных групп взрослого населения, утвержденного приказом Минздрава России № 124н, необходимость </w:t>
      </w:r>
      <w:proofErr w:type="gramStart"/>
      <w:r>
        <w:rPr>
          <w:sz w:val="26"/>
          <w:szCs w:val="26"/>
        </w:rPr>
        <w:t>проведения</w:t>
      </w:r>
      <w:proofErr w:type="gramEnd"/>
      <w:r>
        <w:rPr>
          <w:sz w:val="26"/>
          <w:szCs w:val="26"/>
        </w:rPr>
        <w:t xml:space="preserve"> которых определена по результатам первого и второго этапов диспансеризации.</w:t>
      </w:r>
    </w:p>
    <w:p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Исследования второго этапа диспансеризации вне зависимости от периодичности их проведения подлежат оплате по отдельным тарифам, утвержденным Приложением № 4 к настоящему Порядку, за каждый прием врача-специалиста и каждое лабораторное и функциональное исследование второго этапа диспансеризации отдельно.</w:t>
      </w:r>
    </w:p>
    <w:p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13.</w:t>
      </w:r>
      <w:r>
        <w:rPr>
          <w:sz w:val="26"/>
          <w:szCs w:val="26"/>
        </w:rPr>
        <w:t xml:space="preserve">   Медицинские организации формируют </w:t>
      </w:r>
      <w:r>
        <w:rPr>
          <w:bCs/>
          <w:sz w:val="26"/>
          <w:szCs w:val="26"/>
        </w:rPr>
        <w:t>реестры счетов и счет на оплату расходов по проведению диспансеризации определенных гру</w:t>
      </w:r>
      <w:proofErr w:type="gramStart"/>
      <w:r>
        <w:rPr>
          <w:bCs/>
          <w:sz w:val="26"/>
          <w:szCs w:val="26"/>
        </w:rPr>
        <w:t>пп взр</w:t>
      </w:r>
      <w:proofErr w:type="gramEnd"/>
      <w:r>
        <w:rPr>
          <w:bCs/>
          <w:sz w:val="26"/>
          <w:szCs w:val="26"/>
        </w:rPr>
        <w:t>ослого населения в соответствии с требованиями приказа ФФОМС от 07.04.2011 N 79 (ред. от 13.12.2018) "Об утверждении 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страхования"</w:t>
      </w:r>
      <w:r>
        <w:rPr>
          <w:sz w:val="26"/>
          <w:szCs w:val="26"/>
        </w:rPr>
        <w:t>.</w:t>
      </w:r>
    </w:p>
    <w:p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14.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Страховые медицинские организации осуществляют оплату счетов с учетом контроля объемов, сроков, качества и условий предоставления медицинской помощи по диспансеризации отдельных категорий граждан в соответствии с приказом Федерального фонда обязательного медицинского страхования от 01.12.2010 г. № 230 «Об утверждении порядка организации и проведения контроля объемов, сроков, качества и условий предоставления медицинской помощи по ОМС».</w:t>
      </w:r>
      <w:proofErr w:type="gramEnd"/>
    </w:p>
    <w:p>
      <w:pPr>
        <w:spacing w:line="276" w:lineRule="auto"/>
        <w:ind w:firstLine="474"/>
        <w:jc w:val="both"/>
        <w:rPr>
          <w:sz w:val="26"/>
          <w:szCs w:val="26"/>
        </w:rPr>
      </w:pPr>
    </w:p>
    <w:p>
      <w:pPr>
        <w:spacing w:line="276" w:lineRule="auto"/>
        <w:ind w:firstLine="474"/>
        <w:jc w:val="both"/>
        <w:rPr>
          <w:sz w:val="26"/>
          <w:szCs w:val="26"/>
        </w:rPr>
      </w:pPr>
    </w:p>
    <w:p>
      <w:pPr>
        <w:spacing w:line="276" w:lineRule="auto"/>
        <w:ind w:firstLine="474"/>
        <w:jc w:val="both"/>
        <w:rPr>
          <w:sz w:val="26"/>
          <w:szCs w:val="26"/>
        </w:rPr>
      </w:pPr>
    </w:p>
    <w:p>
      <w:pPr>
        <w:spacing w:line="276" w:lineRule="auto"/>
        <w:ind w:firstLine="474"/>
        <w:jc w:val="both"/>
        <w:rPr>
          <w:sz w:val="26"/>
          <w:szCs w:val="26"/>
        </w:rPr>
      </w:pPr>
    </w:p>
    <w:p>
      <w:pPr>
        <w:spacing w:line="276" w:lineRule="auto"/>
        <w:ind w:firstLine="474"/>
        <w:jc w:val="both"/>
        <w:rPr>
          <w:sz w:val="26"/>
          <w:szCs w:val="26"/>
        </w:rPr>
      </w:pPr>
    </w:p>
    <w:p>
      <w:pPr>
        <w:spacing w:line="276" w:lineRule="auto"/>
        <w:ind w:firstLine="474"/>
        <w:jc w:val="both"/>
        <w:rPr>
          <w:sz w:val="26"/>
          <w:szCs w:val="26"/>
        </w:rPr>
      </w:pPr>
    </w:p>
    <w:sectPr>
      <w:footerReference w:type="default" r:id="rId9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6554694"/>
      <w:docPartObj>
        <w:docPartGallery w:val="Page Numbers (Bottom of Page)"/>
        <w:docPartUnique/>
      </w:docPartObj>
    </w:sdtPr>
    <w:sdtContent>
      <w:p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F2A34"/>
    <w:multiLevelType w:val="multilevel"/>
    <w:tmpl w:val="745ED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0AD7075"/>
    <w:multiLevelType w:val="hybridMultilevel"/>
    <w:tmpl w:val="83DC3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F708E"/>
    <w:multiLevelType w:val="multilevel"/>
    <w:tmpl w:val="44BA24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5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>
    <w:nsid w:val="16CA6FED"/>
    <w:multiLevelType w:val="hybridMultilevel"/>
    <w:tmpl w:val="3D1CC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FC787C"/>
    <w:multiLevelType w:val="hybridMultilevel"/>
    <w:tmpl w:val="6DCA4FCC"/>
    <w:lvl w:ilvl="0" w:tplc="3AE01F9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FA6FC1"/>
    <w:multiLevelType w:val="hybridMultilevel"/>
    <w:tmpl w:val="175EDA9E"/>
    <w:lvl w:ilvl="0" w:tplc="4420D5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3895284"/>
    <w:multiLevelType w:val="hybridMultilevel"/>
    <w:tmpl w:val="2FDED13C"/>
    <w:lvl w:ilvl="0" w:tplc="645456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EA058E"/>
    <w:multiLevelType w:val="multilevel"/>
    <w:tmpl w:val="ADEA5E0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>
    <w:nsid w:val="368247B7"/>
    <w:multiLevelType w:val="hybridMultilevel"/>
    <w:tmpl w:val="7932C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630BA8"/>
    <w:multiLevelType w:val="multilevel"/>
    <w:tmpl w:val="F8D25C94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20" w:hanging="2160"/>
      </w:pPr>
      <w:rPr>
        <w:rFonts w:hint="default"/>
      </w:rPr>
    </w:lvl>
  </w:abstractNum>
  <w:abstractNum w:abstractNumId="10">
    <w:nsid w:val="4371084C"/>
    <w:multiLevelType w:val="multilevel"/>
    <w:tmpl w:val="328A58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1">
    <w:nsid w:val="437C25F7"/>
    <w:multiLevelType w:val="multilevel"/>
    <w:tmpl w:val="77A6900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2">
    <w:nsid w:val="4DA02F32"/>
    <w:multiLevelType w:val="hybridMultilevel"/>
    <w:tmpl w:val="4800A6A2"/>
    <w:lvl w:ilvl="0" w:tplc="B39030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E91F3B"/>
    <w:multiLevelType w:val="hybridMultilevel"/>
    <w:tmpl w:val="83DC3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EE2F1A"/>
    <w:multiLevelType w:val="hybridMultilevel"/>
    <w:tmpl w:val="F48C48BE"/>
    <w:lvl w:ilvl="0" w:tplc="9A66B49A">
      <w:start w:val="1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5">
    <w:nsid w:val="742F74DE"/>
    <w:multiLevelType w:val="hybridMultilevel"/>
    <w:tmpl w:val="6DFE0C9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>
    <w:nsid w:val="7B3C7395"/>
    <w:multiLevelType w:val="multilevel"/>
    <w:tmpl w:val="CBAAC7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7">
    <w:nsid w:val="7DC00A57"/>
    <w:multiLevelType w:val="hybridMultilevel"/>
    <w:tmpl w:val="7CDC6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647B99"/>
    <w:multiLevelType w:val="hybridMultilevel"/>
    <w:tmpl w:val="E7E03386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</w:num>
  <w:num w:numId="4">
    <w:abstractNumId w:val="10"/>
  </w:num>
  <w:num w:numId="5">
    <w:abstractNumId w:val="8"/>
  </w:num>
  <w:num w:numId="6">
    <w:abstractNumId w:val="0"/>
  </w:num>
  <w:num w:numId="7">
    <w:abstractNumId w:val="16"/>
  </w:num>
  <w:num w:numId="8">
    <w:abstractNumId w:val="7"/>
  </w:num>
  <w:num w:numId="9">
    <w:abstractNumId w:val="11"/>
  </w:num>
  <w:num w:numId="10">
    <w:abstractNumId w:val="14"/>
  </w:num>
  <w:num w:numId="11">
    <w:abstractNumId w:val="12"/>
  </w:num>
  <w:num w:numId="12">
    <w:abstractNumId w:val="2"/>
  </w:num>
  <w:num w:numId="13">
    <w:abstractNumId w:val="3"/>
  </w:num>
  <w:num w:numId="14">
    <w:abstractNumId w:val="18"/>
  </w:num>
  <w:num w:numId="15">
    <w:abstractNumId w:val="15"/>
  </w:num>
  <w:num w:numId="16">
    <w:abstractNumId w:val="9"/>
  </w:num>
  <w:num w:numId="17">
    <w:abstractNumId w:val="6"/>
  </w:num>
  <w:num w:numId="18">
    <w:abstractNumId w:val="1"/>
  </w:num>
  <w:num w:numId="19">
    <w:abstractNumId w:val="13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Impact" w:hAnsi="Impact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Pr>
      <w:color w:val="0000FF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0"/>
    <w:rPr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Pr>
      <w:sz w:val="31"/>
      <w:szCs w:val="31"/>
      <w:shd w:val="clear" w:color="auto" w:fill="FFFFFF"/>
    </w:rPr>
  </w:style>
  <w:style w:type="character" w:customStyle="1" w:styleId="11">
    <w:name w:val="Заголовок №1_"/>
    <w:basedOn w:val="a0"/>
    <w:link w:val="12"/>
    <w:rPr>
      <w:sz w:val="31"/>
      <w:szCs w:val="31"/>
      <w:shd w:val="clear" w:color="auto" w:fill="FFFFFF"/>
    </w:rPr>
  </w:style>
  <w:style w:type="paragraph" w:customStyle="1" w:styleId="10">
    <w:name w:val="Основной текст1"/>
    <w:basedOn w:val="a"/>
    <w:link w:val="a7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after="120" w:line="365" w:lineRule="exact"/>
      <w:outlineLvl w:val="1"/>
    </w:pPr>
    <w:rPr>
      <w:sz w:val="31"/>
      <w:szCs w:val="31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240" w:line="0" w:lineRule="atLeast"/>
      <w:outlineLvl w:val="0"/>
    </w:pPr>
    <w:rPr>
      <w:sz w:val="31"/>
      <w:szCs w:val="31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Block Text"/>
    <w:basedOn w:val="a"/>
    <w:pPr>
      <w:ind w:left="567" w:right="679"/>
      <w:jc w:val="center"/>
    </w:pPr>
    <w:rPr>
      <w:b/>
      <w:i/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CB4CE-1D64-4993-BEB6-E535D34EE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4385</TotalTime>
  <Pages>3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</vt:lpstr>
    </vt:vector>
  </TitlesOfParts>
  <Company>Департамент здравоохранения</Company>
  <LinksUpToDate>false</LinksUpToDate>
  <CharactersWithSpaces>6427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</dc:title>
  <dc:subject/>
  <dc:creator>Галина Ю. Шумилина</dc:creator>
  <cp:keywords/>
  <dc:description/>
  <cp:lastModifiedBy>Казенцева О.И.</cp:lastModifiedBy>
  <cp:revision>373</cp:revision>
  <cp:lastPrinted>2019-05-24T00:43:00Z</cp:lastPrinted>
  <dcterms:created xsi:type="dcterms:W3CDTF">2013-04-08T23:06:00Z</dcterms:created>
  <dcterms:modified xsi:type="dcterms:W3CDTF">2019-09-25T06:04:00Z</dcterms:modified>
</cp:coreProperties>
</file>